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b/>
          <w:color w:val="231F20"/>
          <w:spacing w:val="0"/>
          <w:position w:val="0"/>
          <w:sz w:val="28"/>
          <w:shd w:fill="FFFFFF" w:val="clear"/>
        </w:rPr>
        <w:t xml:space="preserve">Консультация для родителей</w:t>
      </w:r>
    </w:p>
    <w:p>
      <w:pPr>
        <w:spacing w:before="0" w:after="0" w:line="360"/>
        <w:ind w:right="0" w:left="0" w:firstLine="0"/>
        <w:jc w:val="center"/>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b/>
          <w:color w:val="FF0000"/>
          <w:spacing w:val="0"/>
          <w:position w:val="0"/>
          <w:sz w:val="28"/>
          <w:shd w:fill="FFFFFF" w:val="clear"/>
        </w:rPr>
        <w:t xml:space="preserve">Возрастные особенности детей 6-7 лет</w:t>
      </w:r>
    </w:p>
    <w:p>
      <w:pPr>
        <w:spacing w:before="75" w:after="75"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color w:val="231F20"/>
          <w:spacing w:val="0"/>
          <w:position w:val="0"/>
          <w:sz w:val="28"/>
          <w:shd w:fill="FFFFFF" w:val="clear"/>
        </w:rPr>
        <w:t xml:space="preserve">Седьмой год жизни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122 </w:t>
      </w:r>
      <w:r>
        <w:rPr>
          <w:rFonts w:ascii="Times New Roman" w:hAnsi="Times New Roman" w:cs="Times New Roman" w:eastAsia="Times New Roman"/>
          <w:color w:val="231F20"/>
          <w:spacing w:val="0"/>
          <w:position w:val="0"/>
          <w:sz w:val="28"/>
          <w:shd w:fill="FFFFFF" w:val="clear"/>
        </w:rPr>
        <w:t xml:space="preserve">см, средний вес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21</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25 </w:t>
      </w:r>
      <w:r>
        <w:rPr>
          <w:rFonts w:ascii="Times New Roman" w:hAnsi="Times New Roman" w:cs="Times New Roman" w:eastAsia="Times New Roman"/>
          <w:color w:val="231F20"/>
          <w:spacing w:val="0"/>
          <w:position w:val="0"/>
          <w:sz w:val="28"/>
          <w:shd w:fill="FFFFFF" w:val="clear"/>
        </w:rPr>
        <w:t xml:space="preserve">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r>
        <w:rPr>
          <w:rFonts w:ascii="Times New Roman" w:hAnsi="Times New Roman" w:cs="Times New Roman" w:eastAsia="Times New Roman"/>
          <w:color w:val="231F20"/>
          <w:spacing w:val="0"/>
          <w:position w:val="0"/>
          <w:sz w:val="28"/>
          <w:shd w:fill="FFFFFF" w:val="clear"/>
        </w:rPr>
        <w:t xml:space="preserve"> </w:t>
      </w:r>
    </w:p>
    <w:p>
      <w:pPr>
        <w:spacing w:before="0" w:after="0"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b/>
          <w:color w:val="231F20"/>
          <w:spacing w:val="0"/>
          <w:position w:val="0"/>
          <w:sz w:val="28"/>
          <w:shd w:fill="FFFFFF" w:val="clear"/>
        </w:rPr>
        <w:t xml:space="preserve">Развитие личности</w:t>
      </w:r>
    </w:p>
    <w:p>
      <w:pPr>
        <w:spacing w:before="75" w:after="75"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color w:val="231F20"/>
          <w:spacing w:val="0"/>
          <w:position w:val="0"/>
          <w:sz w:val="28"/>
          <w:shd w:fill="FFFFFF" w:val="clear"/>
        </w:rPr>
        <w:t xml:space="preserve">Изменения в сознании характеризуются появлением так называемого внутреннего плана действий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сензитивным,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pPr>
        <w:spacing w:before="0" w:after="0"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b/>
          <w:color w:val="231F20"/>
          <w:spacing w:val="0"/>
          <w:position w:val="0"/>
          <w:sz w:val="28"/>
          <w:shd w:fill="FFFFFF" w:val="clear"/>
        </w:rPr>
        <w:t xml:space="preserve">Развитие психических процессов</w:t>
      </w:r>
    </w:p>
    <w:p>
      <w:pPr>
        <w:spacing w:before="75" w:after="75"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color w:val="231F20"/>
          <w:spacing w:val="0"/>
          <w:position w:val="0"/>
          <w:sz w:val="28"/>
          <w:shd w:fill="FFFFFF" w:val="clear"/>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20</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25 </w:t>
      </w:r>
      <w:r>
        <w:rPr>
          <w:rFonts w:ascii="Times New Roman" w:hAnsi="Times New Roman" w:cs="Times New Roman" w:eastAsia="Times New Roman"/>
          <w:color w:val="231F20"/>
          <w:spacing w:val="0"/>
          <w:position w:val="0"/>
          <w:sz w:val="28"/>
          <w:shd w:fill="FFFFFF" w:val="clear"/>
        </w:rPr>
        <w:t xml:space="preserve">минут, объем внимания составляет 7</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8 </w:t>
      </w:r>
      <w:r>
        <w:rPr>
          <w:rFonts w:ascii="Times New Roman" w:hAnsi="Times New Roman" w:cs="Times New Roman" w:eastAsia="Times New Roman"/>
          <w:color w:val="231F20"/>
          <w:spacing w:val="0"/>
          <w:position w:val="0"/>
          <w:sz w:val="28"/>
          <w:shd w:fill="FFFFFF" w:val="clear"/>
        </w:rPr>
        <w:t xml:space="preserve">предметов. Ребенок может видеть двойственные изображения. Память. К концу дошкольного периода (6</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7 </w:t>
      </w:r>
      <w:r>
        <w:rPr>
          <w:rFonts w:ascii="Times New Roman" w:hAnsi="Times New Roman" w:cs="Times New Roman" w:eastAsia="Times New Roman"/>
          <w:color w:val="231F20"/>
          <w:spacing w:val="0"/>
          <w:position w:val="0"/>
          <w:sz w:val="28"/>
          <w:shd w:fill="FFFFFF" w:val="clear"/>
        </w:rPr>
        <w:t xml:space="preserve">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8 </w:t>
      </w:r>
      <w:r>
        <w:rPr>
          <w:rFonts w:ascii="Times New Roman" w:hAnsi="Times New Roman" w:cs="Times New Roman" w:eastAsia="Times New Roman"/>
          <w:color w:val="231F20"/>
          <w:spacing w:val="0"/>
          <w:position w:val="0"/>
          <w:sz w:val="28"/>
          <w:shd w:fill="FFFFFF" w:val="clear"/>
        </w:rPr>
        <w:t xml:space="preserve">последовательных картинок. Воображение. Старший дошкольный и младший школьный возрасты характеризуются активизацией функции воображения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сензитивный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pPr>
        <w:spacing w:before="0" w:after="0"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b/>
          <w:color w:val="231F20"/>
          <w:spacing w:val="0"/>
          <w:position w:val="0"/>
          <w:sz w:val="28"/>
          <w:shd w:fill="FFFFFF" w:val="clear"/>
        </w:rPr>
        <w:t xml:space="preserve">Основные компоненты психологической готовности к школе</w:t>
      </w:r>
    </w:p>
    <w:p>
      <w:pPr>
        <w:spacing w:before="75" w:after="75" w:line="360"/>
        <w:ind w:right="0" w:left="0" w:firstLine="0"/>
        <w:jc w:val="left"/>
        <w:rPr>
          <w:rFonts w:ascii="Times New Roman" w:hAnsi="Times New Roman" w:cs="Times New Roman" w:eastAsia="Times New Roman"/>
          <w:color w:val="231F20"/>
          <w:spacing w:val="0"/>
          <w:position w:val="0"/>
          <w:sz w:val="28"/>
          <w:shd w:fill="FFFFFF" w:val="clear"/>
        </w:rPr>
      </w:pPr>
      <w:r>
        <w:rPr>
          <w:rFonts w:ascii="Times New Roman" w:hAnsi="Times New Roman" w:cs="Times New Roman" w:eastAsia="Times New Roman"/>
          <w:color w:val="231F20"/>
          <w:spacing w:val="0"/>
          <w:position w:val="0"/>
          <w:sz w:val="28"/>
          <w:shd w:fill="FFFFFF" w:val="clear"/>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многокомпонентна. Можно выделить несколько параметров психического развития ребенка, наиболее существенно влияющих на успешное обучение в школе.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w:t>
      </w:r>
      <w:r>
        <w:rPr>
          <w:rFonts w:ascii="Times New Roman" w:hAnsi="Times New Roman" w:cs="Times New Roman" w:eastAsia="Times New Roman"/>
          <w:color w:val="231F20"/>
          <w:spacing w:val="0"/>
          <w:position w:val="0"/>
          <w:sz w:val="28"/>
          <w:shd w:fill="FFFFFF" w:val="clear"/>
        </w:rPr>
        <w:t xml:space="preserve">•</w:t>
      </w:r>
      <w:r>
        <w:rPr>
          <w:rFonts w:ascii="Times New Roman" w:hAnsi="Times New Roman" w:cs="Times New Roman" w:eastAsia="Times New Roman"/>
          <w:color w:val="231F20"/>
          <w:spacing w:val="0"/>
          <w:position w:val="0"/>
          <w:sz w:val="28"/>
          <w:shd w:fill="FFFFFF" w:val="clear"/>
        </w:rPr>
        <w:t xml:space="preserve"> </w:t>
      </w:r>
      <w:r>
        <w:rPr>
          <w:rFonts w:ascii="Times New Roman" w:hAnsi="Times New Roman" w:cs="Times New Roman" w:eastAsia="Times New Roman"/>
          <w:color w:val="231F20"/>
          <w:spacing w:val="0"/>
          <w:position w:val="0"/>
          <w:sz w:val="28"/>
          <w:shd w:fill="FFFFFF" w:val="clear"/>
        </w:rPr>
        <w:t xml:space="preserve">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